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6" w:rsidRDefault="007A70A6" w:rsidP="007A70A6">
      <w:pPr>
        <w:pStyle w:val="a6"/>
        <w:jc w:val="center"/>
      </w:pPr>
      <w:r>
        <w:t xml:space="preserve">                                                                                                             </w:t>
      </w:r>
      <w:r w:rsidR="00804ECF">
        <w:t>УТВЕРЖДАЮ</w:t>
      </w:r>
      <w:r w:rsidR="00804ECF"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ECF">
        <w:t xml:space="preserve">Директор </w:t>
      </w:r>
      <w:r>
        <w:t xml:space="preserve">ТИБОХ ДВО РАН </w:t>
      </w:r>
    </w:p>
    <w:p w:rsidR="007A70A6" w:rsidRDefault="007A70A6" w:rsidP="007A70A6">
      <w:pPr>
        <w:pStyle w:val="a6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0A6" w:rsidRDefault="007A70A6" w:rsidP="007A70A6">
      <w:pPr>
        <w:pStyle w:val="a6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академик В.А. </w:t>
      </w:r>
      <w:proofErr w:type="spellStart"/>
      <w:r>
        <w:t>Стоник</w:t>
      </w:r>
      <w:proofErr w:type="spellEnd"/>
    </w:p>
    <w:p w:rsidR="007A70A6" w:rsidRDefault="007A70A6" w:rsidP="007A70A6">
      <w:pPr>
        <w:pStyle w:val="a6"/>
        <w:spacing w:before="0" w:beforeAutospacing="0" w:after="0" w:afterAutospacing="0"/>
        <w:ind w:left="6373"/>
        <w:jc w:val="center"/>
      </w:pPr>
      <w:r>
        <w:t>«   »                         2016 г.</w:t>
      </w:r>
    </w:p>
    <w:p w:rsidR="00804ECF" w:rsidRPr="000C045F" w:rsidRDefault="00804ECF" w:rsidP="007A70A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45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804ECF" w:rsidRPr="007A70A6" w:rsidRDefault="003648FD" w:rsidP="007A7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4ECF" w:rsidRPr="007A70A6">
        <w:rPr>
          <w:rFonts w:ascii="Times New Roman" w:hAnsi="Times New Roman" w:cs="Times New Roman"/>
          <w:b/>
          <w:bCs/>
          <w:sz w:val="28"/>
          <w:szCs w:val="28"/>
        </w:rPr>
        <w:t xml:space="preserve"> выборах Ученого </w:t>
      </w:r>
      <w:proofErr w:type="gramStart"/>
      <w:r w:rsidR="00804ECF" w:rsidRPr="007A70A6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804ECF" w:rsidRPr="007A70A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A70A6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бюджетного учреждения науки Тихоокеанского института биоорганической химии</w:t>
      </w:r>
      <w:proofErr w:type="gramEnd"/>
      <w:r w:rsidR="007A70A6">
        <w:rPr>
          <w:rFonts w:ascii="Times New Roman" w:hAnsi="Times New Roman" w:cs="Times New Roman"/>
          <w:b/>
          <w:bCs/>
          <w:sz w:val="28"/>
          <w:szCs w:val="28"/>
        </w:rPr>
        <w:t xml:space="preserve"> им. Г.Б. Елякова Дальневосточного отделения Российской академии наук</w:t>
      </w:r>
    </w:p>
    <w:p w:rsidR="00804ECF" w:rsidRPr="007A70A6" w:rsidRDefault="00804ECF" w:rsidP="007A7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ECF" w:rsidRPr="007A70A6" w:rsidRDefault="00804ECF" w:rsidP="007A70A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 xml:space="preserve">Настоящее Положение составлено на основании Федерального закона от 23.08.1996 № 127-ФЗ «О науке и государственной научно-технической политике» и Устава </w:t>
      </w:r>
      <w:r w:rsidR="00F14C2C" w:rsidRPr="00F14C2C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бюджетного учреждения науки Тихоокеанского института биоорганической химии им. Г.Б. Елякова Дальневосточного отделения Российской академии наук</w:t>
      </w:r>
      <w:r w:rsidR="00F14C2C">
        <w:rPr>
          <w:rFonts w:ascii="Times New Roman" w:hAnsi="Times New Roman" w:cs="Times New Roman"/>
          <w:bCs/>
          <w:sz w:val="28"/>
          <w:szCs w:val="28"/>
        </w:rPr>
        <w:t xml:space="preserve"> (далее – ТИБОХ ДВО РАН, Институт)</w:t>
      </w:r>
      <w:r w:rsidRPr="007A70A6">
        <w:rPr>
          <w:rFonts w:ascii="Times New Roman" w:hAnsi="Times New Roman" w:cs="Times New Roman"/>
          <w:sz w:val="28"/>
          <w:szCs w:val="28"/>
        </w:rPr>
        <w:t>.</w:t>
      </w:r>
    </w:p>
    <w:p w:rsidR="00804ECF" w:rsidRPr="006A0144" w:rsidRDefault="00804ECF" w:rsidP="006A014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 xml:space="preserve">Ученый совет Института избирается (после выборов и утверждения директора) из числа имеющих ученую степень научных </w:t>
      </w:r>
      <w:r w:rsidR="003648FD">
        <w:rPr>
          <w:rFonts w:ascii="Times New Roman" w:hAnsi="Times New Roman" w:cs="Times New Roman"/>
          <w:sz w:val="28"/>
          <w:szCs w:val="28"/>
        </w:rPr>
        <w:t>работ</w:t>
      </w:r>
      <w:r w:rsidRPr="00F14C2C">
        <w:rPr>
          <w:rFonts w:ascii="Times New Roman" w:hAnsi="Times New Roman" w:cs="Times New Roman"/>
          <w:sz w:val="28"/>
          <w:szCs w:val="28"/>
        </w:rPr>
        <w:t xml:space="preserve">ников Института тайным голосованием на конференции научных </w:t>
      </w:r>
      <w:r w:rsidR="003648FD">
        <w:rPr>
          <w:rFonts w:ascii="Times New Roman" w:hAnsi="Times New Roman" w:cs="Times New Roman"/>
          <w:sz w:val="28"/>
          <w:szCs w:val="28"/>
        </w:rPr>
        <w:t>работ</w:t>
      </w:r>
      <w:r w:rsidR="003648FD" w:rsidRPr="00F14C2C">
        <w:rPr>
          <w:rFonts w:ascii="Times New Roman" w:hAnsi="Times New Roman" w:cs="Times New Roman"/>
          <w:sz w:val="28"/>
          <w:szCs w:val="28"/>
        </w:rPr>
        <w:t>ников</w:t>
      </w:r>
      <w:r w:rsidRPr="007A70A6">
        <w:rPr>
          <w:rFonts w:ascii="Times New Roman" w:hAnsi="Times New Roman" w:cs="Times New Roman"/>
          <w:sz w:val="28"/>
          <w:szCs w:val="28"/>
        </w:rPr>
        <w:t xml:space="preserve"> Института. Под научными </w:t>
      </w:r>
      <w:r w:rsidR="003648FD">
        <w:rPr>
          <w:rFonts w:ascii="Times New Roman" w:hAnsi="Times New Roman" w:cs="Times New Roman"/>
          <w:sz w:val="28"/>
          <w:szCs w:val="28"/>
        </w:rPr>
        <w:t>работ</w:t>
      </w:r>
      <w:r w:rsidR="003648FD" w:rsidRPr="00F14C2C">
        <w:rPr>
          <w:rFonts w:ascii="Times New Roman" w:hAnsi="Times New Roman" w:cs="Times New Roman"/>
          <w:sz w:val="28"/>
          <w:szCs w:val="28"/>
        </w:rPr>
        <w:t>ник</w:t>
      </w:r>
      <w:r w:rsidR="003648FD">
        <w:rPr>
          <w:rFonts w:ascii="Times New Roman" w:hAnsi="Times New Roman" w:cs="Times New Roman"/>
          <w:sz w:val="28"/>
          <w:szCs w:val="28"/>
        </w:rPr>
        <w:t>ами</w:t>
      </w:r>
      <w:r w:rsidR="003648FD" w:rsidRPr="00F14C2C">
        <w:rPr>
          <w:rFonts w:ascii="Times New Roman" w:hAnsi="Times New Roman" w:cs="Times New Roman"/>
          <w:sz w:val="28"/>
          <w:szCs w:val="28"/>
        </w:rPr>
        <w:t xml:space="preserve"> </w:t>
      </w:r>
      <w:r w:rsidRPr="007A70A6">
        <w:rPr>
          <w:rFonts w:ascii="Times New Roman" w:hAnsi="Times New Roman" w:cs="Times New Roman"/>
          <w:sz w:val="28"/>
          <w:szCs w:val="28"/>
        </w:rPr>
        <w:t xml:space="preserve">понимаются сотрудники </w:t>
      </w:r>
      <w:r w:rsidR="00F14C2C">
        <w:rPr>
          <w:rFonts w:ascii="Times New Roman" w:hAnsi="Times New Roman" w:cs="Times New Roman"/>
          <w:sz w:val="28"/>
          <w:szCs w:val="28"/>
        </w:rPr>
        <w:t>ТИБОХ ДВО РАН</w:t>
      </w:r>
      <w:r w:rsidRPr="007A70A6">
        <w:rPr>
          <w:rFonts w:ascii="Times New Roman" w:hAnsi="Times New Roman" w:cs="Times New Roman"/>
          <w:sz w:val="28"/>
          <w:szCs w:val="28"/>
        </w:rPr>
        <w:t xml:space="preserve"> по основному месту работы, имеющие ученую степень или занимающие научные должности, включая стажеров-исследователей и аспирантов Института. Члены РАН – сотрудники Института по основному месту работы, давшие свое согласие, входят в состав Ученого совета Института без голосования на конференции научных </w:t>
      </w:r>
      <w:r w:rsidR="003648FD">
        <w:rPr>
          <w:rFonts w:ascii="Times New Roman" w:hAnsi="Times New Roman" w:cs="Times New Roman"/>
          <w:sz w:val="28"/>
          <w:szCs w:val="28"/>
        </w:rPr>
        <w:t>работ</w:t>
      </w:r>
      <w:r w:rsidRPr="007A70A6">
        <w:rPr>
          <w:rFonts w:ascii="Times New Roman" w:hAnsi="Times New Roman" w:cs="Times New Roman"/>
          <w:sz w:val="28"/>
          <w:szCs w:val="28"/>
        </w:rPr>
        <w:t xml:space="preserve">ников. </w:t>
      </w:r>
      <w:proofErr w:type="gramStart"/>
      <w:r w:rsidRPr="007A70A6">
        <w:rPr>
          <w:rFonts w:ascii="Times New Roman" w:hAnsi="Times New Roman" w:cs="Times New Roman"/>
          <w:sz w:val="28"/>
          <w:szCs w:val="28"/>
        </w:rPr>
        <w:t>Председателем Ученого совета является директор Института, секретарем – Ученый секретарь Института, которые входят в его состав по должности.</w:t>
      </w:r>
      <w:proofErr w:type="gramEnd"/>
      <w:r w:rsidRPr="007A70A6">
        <w:rPr>
          <w:rFonts w:ascii="Times New Roman" w:hAnsi="Times New Roman" w:cs="Times New Roman"/>
          <w:sz w:val="28"/>
          <w:szCs w:val="28"/>
        </w:rPr>
        <w:t xml:space="preserve"> </w:t>
      </w:r>
      <w:r w:rsidRPr="00264822">
        <w:rPr>
          <w:rFonts w:ascii="Times New Roman" w:hAnsi="Times New Roman" w:cs="Times New Roman"/>
          <w:sz w:val="28"/>
          <w:szCs w:val="28"/>
          <w:highlight w:val="yellow"/>
        </w:rPr>
        <w:t xml:space="preserve">Кандидатуры в Ученый совет Института предлагаются </w:t>
      </w:r>
      <w:r w:rsidR="006A0144" w:rsidRPr="006A0144">
        <w:rPr>
          <w:rFonts w:ascii="Times New Roman" w:hAnsi="Times New Roman" w:cs="Times New Roman"/>
          <w:sz w:val="28"/>
          <w:szCs w:val="28"/>
        </w:rPr>
        <w:t xml:space="preserve">1. </w:t>
      </w:r>
      <w:r w:rsidRPr="006A0144">
        <w:rPr>
          <w:rFonts w:ascii="Times New Roman" w:hAnsi="Times New Roman" w:cs="Times New Roman"/>
          <w:sz w:val="28"/>
          <w:szCs w:val="28"/>
          <w:highlight w:val="yellow"/>
        </w:rPr>
        <w:t>директором Института</w:t>
      </w:r>
      <w:r w:rsidRPr="006A0144">
        <w:rPr>
          <w:rFonts w:ascii="Times New Roman" w:hAnsi="Times New Roman" w:cs="Times New Roman"/>
          <w:sz w:val="28"/>
          <w:szCs w:val="28"/>
        </w:rPr>
        <w:t>.</w:t>
      </w:r>
      <w:r w:rsidR="003648FD" w:rsidRPr="006A0144">
        <w:rPr>
          <w:rFonts w:ascii="Times New Roman" w:hAnsi="Times New Roman" w:cs="Times New Roman"/>
          <w:sz w:val="28"/>
          <w:szCs w:val="28"/>
        </w:rPr>
        <w:t xml:space="preserve"> </w:t>
      </w:r>
      <w:r w:rsidR="006A0144">
        <w:rPr>
          <w:rFonts w:ascii="Times New Roman" w:hAnsi="Times New Roman" w:cs="Times New Roman"/>
          <w:sz w:val="28"/>
          <w:szCs w:val="28"/>
        </w:rPr>
        <w:t xml:space="preserve">2. </w:t>
      </w:r>
      <w:r w:rsidR="003648FD" w:rsidRPr="006A0144">
        <w:rPr>
          <w:rFonts w:ascii="Times New Roman" w:hAnsi="Times New Roman" w:cs="Times New Roman"/>
          <w:sz w:val="28"/>
          <w:szCs w:val="28"/>
          <w:highlight w:val="yellow"/>
        </w:rPr>
        <w:t xml:space="preserve">Право на выдвижение кандидатов в члены Ученого совета имеют все научные работники </w:t>
      </w:r>
      <w:r w:rsidR="006A0144">
        <w:rPr>
          <w:rFonts w:ascii="Times New Roman" w:hAnsi="Times New Roman" w:cs="Times New Roman"/>
          <w:sz w:val="28"/>
          <w:szCs w:val="28"/>
          <w:highlight w:val="yellow"/>
        </w:rPr>
        <w:t>Института.</w:t>
      </w:r>
      <w:r w:rsidR="003648FD" w:rsidRPr="006A0144">
        <w:rPr>
          <w:rFonts w:ascii="Times New Roman" w:hAnsi="Times New Roman" w:cs="Times New Roman"/>
          <w:sz w:val="28"/>
          <w:szCs w:val="28"/>
          <w:highlight w:val="yellow"/>
        </w:rPr>
        <w:t xml:space="preserve"> Научные работники с ученой степенью имеют право на </w:t>
      </w:r>
      <w:r w:rsidR="006A0144">
        <w:rPr>
          <w:rFonts w:ascii="Times New Roman" w:hAnsi="Times New Roman" w:cs="Times New Roman"/>
          <w:sz w:val="28"/>
          <w:szCs w:val="28"/>
          <w:highlight w:val="yellow"/>
        </w:rPr>
        <w:t>само</w:t>
      </w:r>
      <w:r w:rsidR="003648FD" w:rsidRPr="006A0144">
        <w:rPr>
          <w:rFonts w:ascii="Times New Roman" w:hAnsi="Times New Roman" w:cs="Times New Roman"/>
          <w:sz w:val="28"/>
          <w:szCs w:val="28"/>
          <w:highlight w:val="yellow"/>
        </w:rPr>
        <w:t>выдвижение</w:t>
      </w:r>
      <w:proofErr w:type="gramStart"/>
      <w:r w:rsidR="003648FD" w:rsidRPr="006A01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48FD" w:rsidRPr="006A01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48FD" w:rsidRPr="006A01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48FD" w:rsidRPr="006A0144">
        <w:rPr>
          <w:rFonts w:ascii="Times New Roman" w:hAnsi="Times New Roman" w:cs="Times New Roman"/>
          <w:sz w:val="28"/>
          <w:szCs w:val="28"/>
        </w:rPr>
        <w:t xml:space="preserve">з Устава института) </w:t>
      </w:r>
    </w:p>
    <w:p w:rsidR="00804ECF" w:rsidRPr="007A70A6" w:rsidRDefault="00804ECF" w:rsidP="007A70A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>Численный состав избираемого Ученого совета, норму представительства на конференцию научных сотрудников, день проведения голосования, а также форму бюллетеня для тайного голосования на конференции научных сотрудников определяет Ученый совет предыдущего созыва.</w:t>
      </w:r>
    </w:p>
    <w:p w:rsidR="00804ECF" w:rsidRPr="007A70A6" w:rsidRDefault="00804ECF" w:rsidP="007A70A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 xml:space="preserve">Полный список кандидатов в члены Ученого совета, </w:t>
      </w:r>
      <w:r w:rsidRPr="006A0144">
        <w:rPr>
          <w:rFonts w:ascii="Times New Roman" w:hAnsi="Times New Roman" w:cs="Times New Roman"/>
          <w:sz w:val="28"/>
          <w:szCs w:val="28"/>
          <w:highlight w:val="yellow"/>
        </w:rPr>
        <w:t>предложенных директором,</w:t>
      </w:r>
      <w:r w:rsidRPr="007A70A6">
        <w:rPr>
          <w:rFonts w:ascii="Times New Roman" w:hAnsi="Times New Roman" w:cs="Times New Roman"/>
          <w:sz w:val="28"/>
          <w:szCs w:val="28"/>
        </w:rPr>
        <w:t xml:space="preserve"> и давших письменное согласие баллотироваться, доводится до сведения коллектива Ученым секретарем Института за неделю до конференции научных </w:t>
      </w:r>
      <w:r w:rsidR="006A0144">
        <w:rPr>
          <w:rFonts w:ascii="Times New Roman" w:hAnsi="Times New Roman" w:cs="Times New Roman"/>
          <w:sz w:val="28"/>
          <w:szCs w:val="28"/>
        </w:rPr>
        <w:t>работ</w:t>
      </w:r>
      <w:r w:rsidRPr="007A70A6">
        <w:rPr>
          <w:rFonts w:ascii="Times New Roman" w:hAnsi="Times New Roman" w:cs="Times New Roman"/>
          <w:sz w:val="28"/>
          <w:szCs w:val="28"/>
        </w:rPr>
        <w:t xml:space="preserve">ников Института. </w:t>
      </w:r>
      <w:r w:rsidRPr="006A0144">
        <w:rPr>
          <w:rFonts w:ascii="Times New Roman" w:hAnsi="Times New Roman" w:cs="Times New Roman"/>
          <w:sz w:val="28"/>
          <w:szCs w:val="28"/>
          <w:highlight w:val="yellow"/>
        </w:rPr>
        <w:t>По предложению директора Института</w:t>
      </w:r>
      <w:r w:rsidRPr="007A70A6">
        <w:rPr>
          <w:rFonts w:ascii="Times New Roman" w:hAnsi="Times New Roman" w:cs="Times New Roman"/>
          <w:sz w:val="28"/>
          <w:szCs w:val="28"/>
        </w:rPr>
        <w:t xml:space="preserve"> в число членов Ученого совета Института с правом </w:t>
      </w:r>
      <w:r w:rsidRPr="007A70A6">
        <w:rPr>
          <w:rFonts w:ascii="Times New Roman" w:hAnsi="Times New Roman" w:cs="Times New Roman"/>
          <w:sz w:val="28"/>
          <w:szCs w:val="28"/>
        </w:rPr>
        <w:lastRenderedPageBreak/>
        <w:t>совещательного голоса могут быть введены председатель Совета молодых ученых, руководитель профсоюза Института, а также сотрудники других организаций.</w:t>
      </w:r>
    </w:p>
    <w:p w:rsidR="00804ECF" w:rsidRPr="007A70A6" w:rsidRDefault="00804ECF" w:rsidP="007A70A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по выборам членов Ученого совета, </w:t>
      </w:r>
      <w:proofErr w:type="gramStart"/>
      <w:r w:rsidRPr="007A70A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A70A6">
        <w:rPr>
          <w:rFonts w:ascii="Times New Roman" w:hAnsi="Times New Roman" w:cs="Times New Roman"/>
          <w:sz w:val="28"/>
          <w:szCs w:val="28"/>
        </w:rPr>
        <w:t xml:space="preserve"> организует и проводит выборы, утверждается простым большинством голосов открытым голосованием Ученого совета предыдущего созыва.</w:t>
      </w:r>
    </w:p>
    <w:p w:rsidR="00804ECF" w:rsidRPr="007A70A6" w:rsidRDefault="00804ECF" w:rsidP="007A70A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 xml:space="preserve">Выборы членов Ученого совета производятся тайным голосованием в течение одного дня с 9-00 до 15-00 час. Избирательная комиссия обеспечивает участие в голосовании научных </w:t>
      </w:r>
      <w:r w:rsidR="006A0144">
        <w:rPr>
          <w:rFonts w:ascii="Times New Roman" w:hAnsi="Times New Roman" w:cs="Times New Roman"/>
          <w:sz w:val="28"/>
          <w:szCs w:val="28"/>
        </w:rPr>
        <w:t>работ</w:t>
      </w:r>
      <w:r w:rsidRPr="007A70A6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F14C2C">
        <w:rPr>
          <w:rFonts w:ascii="Times New Roman" w:hAnsi="Times New Roman" w:cs="Times New Roman"/>
          <w:sz w:val="28"/>
          <w:szCs w:val="28"/>
        </w:rPr>
        <w:t>ТИБОХ ДВО РАН</w:t>
      </w:r>
      <w:r w:rsidRPr="007A70A6">
        <w:rPr>
          <w:rFonts w:ascii="Times New Roman" w:hAnsi="Times New Roman" w:cs="Times New Roman"/>
          <w:sz w:val="28"/>
          <w:szCs w:val="28"/>
        </w:rPr>
        <w:t>. В выборах участвуют все делегаты конференции. Выборы считаются правомочными, если в них приняло участие не менее 2/3 общего числа делегатов конференции (за вычетом больных и находящихся в командировке). Действительными являются бюллетени, в которых число оставленных кандидатов в члены Ученого совета совпадает с числом выборных мест. Результаты голосования оформляются протоколом комиссии. Избранными считаются набравшие наибольшее число голосов, при условии, что за них проголосовало более 50% от числа делегатов конференции, принявших участие в голосовании. В случае</w:t>
      </w:r>
      <w:proofErr w:type="gramStart"/>
      <w:r w:rsidRPr="007A70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70A6">
        <w:rPr>
          <w:rFonts w:ascii="Times New Roman" w:hAnsi="Times New Roman" w:cs="Times New Roman"/>
          <w:sz w:val="28"/>
          <w:szCs w:val="28"/>
        </w:rPr>
        <w:t xml:space="preserve"> если количество избранных в ученый совет превышает утвержденный численный состав Ученого совета вследствие одинакового числа голосов, поданных сразу за несколько кандидатов, замыкающих список избранных по рейтингу, проводятся второй и третий тур голосования с включением в бюллетени для голосования этих кандидатов. Время проведения второго и третьего тура голосования назначает избирательная комиссия.</w:t>
      </w:r>
    </w:p>
    <w:p w:rsidR="00804ECF" w:rsidRPr="007A70A6" w:rsidRDefault="00804ECF" w:rsidP="007A70A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>В случае избрания в Ученый совет в первом туре членов меньше установленного числа выборных мест, также проводится второй и третий туры голосования. В бюллетени для повторных туров голосования включаются кандидаты, набравшие наибольшее число голосов, в количестве не более 2 человек на 1 место из оставшихся вакансий.</w:t>
      </w:r>
    </w:p>
    <w:p w:rsidR="00804ECF" w:rsidRPr="007A70A6" w:rsidRDefault="00804ECF" w:rsidP="007A70A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>Избранными в Ученый совет считаются кандидаты, набравшие наибольшее число голосов, при условии, что за них проголосовало более 50% от общего числа делегатов, принявших участие в голосовании. После третьего тура выборы прекращаются даже, если часть вакансий остается незаполненной. В этом случае Ученый совет работает в том составе, который был выбран в результате трех туров.</w:t>
      </w:r>
    </w:p>
    <w:p w:rsidR="00804ECF" w:rsidRPr="007A70A6" w:rsidRDefault="00804ECF" w:rsidP="007A70A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>Результаты выборов утверждает директор Института.</w:t>
      </w:r>
    </w:p>
    <w:p w:rsidR="00804ECF" w:rsidRPr="007A70A6" w:rsidRDefault="00804ECF" w:rsidP="007A70A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 xml:space="preserve">Положение о выборах Ученого совета принято на заседании Ученого совета </w:t>
      </w:r>
      <w:r w:rsidRPr="00264822">
        <w:rPr>
          <w:rFonts w:ascii="Times New Roman" w:hAnsi="Times New Roman" w:cs="Times New Roman"/>
          <w:sz w:val="28"/>
          <w:szCs w:val="28"/>
          <w:highlight w:val="yellow"/>
        </w:rPr>
        <w:t>3 октября 201</w:t>
      </w:r>
      <w:r w:rsidR="00264822">
        <w:rPr>
          <w:rFonts w:ascii="Times New Roman" w:hAnsi="Times New Roman" w:cs="Times New Roman"/>
          <w:sz w:val="28"/>
          <w:szCs w:val="28"/>
        </w:rPr>
        <w:t>6</w:t>
      </w:r>
      <w:r w:rsidRPr="007A70A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4027" w:type="pct"/>
        <w:jc w:val="center"/>
        <w:tblCellSpacing w:w="15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5"/>
        <w:gridCol w:w="30"/>
        <w:gridCol w:w="3248"/>
        <w:gridCol w:w="554"/>
      </w:tblGrid>
      <w:tr w:rsidR="00804ECF" w:rsidRPr="007A70A6" w:rsidTr="00F14C2C">
        <w:trPr>
          <w:tblCellSpacing w:w="15" w:type="dxa"/>
          <w:jc w:val="center"/>
        </w:trPr>
        <w:tc>
          <w:tcPr>
            <w:tcW w:w="2471" w:type="pct"/>
            <w:vAlign w:val="center"/>
            <w:hideMark/>
          </w:tcPr>
          <w:p w:rsidR="00804ECF" w:rsidRPr="007A70A6" w:rsidRDefault="00804ECF" w:rsidP="00F14C2C">
            <w:pPr>
              <w:pStyle w:val="a6"/>
              <w:ind w:left="-45"/>
              <w:jc w:val="both"/>
              <w:rPr>
                <w:sz w:val="28"/>
                <w:szCs w:val="28"/>
              </w:rPr>
            </w:pPr>
            <w:r w:rsidRPr="007A70A6">
              <w:rPr>
                <w:sz w:val="28"/>
                <w:szCs w:val="28"/>
              </w:rPr>
              <w:t>Председатель Ученого совета</w:t>
            </w:r>
          </w:p>
        </w:tc>
        <w:tc>
          <w:tcPr>
            <w:tcW w:w="2469" w:type="pct"/>
            <w:gridSpan w:val="3"/>
            <w:vAlign w:val="center"/>
            <w:hideMark/>
          </w:tcPr>
          <w:p w:rsidR="00804ECF" w:rsidRPr="007A70A6" w:rsidRDefault="00804ECF" w:rsidP="007A70A6">
            <w:pPr>
              <w:pStyle w:val="a6"/>
              <w:jc w:val="both"/>
              <w:rPr>
                <w:sz w:val="28"/>
                <w:szCs w:val="28"/>
              </w:rPr>
            </w:pPr>
            <w:r w:rsidRPr="007A70A6">
              <w:rPr>
                <w:sz w:val="28"/>
                <w:szCs w:val="28"/>
              </w:rPr>
              <w:t>Ученый секретарь Совета</w:t>
            </w:r>
          </w:p>
        </w:tc>
      </w:tr>
      <w:tr w:rsidR="00804ECF" w:rsidRPr="007A70A6" w:rsidTr="00F14C2C">
        <w:trPr>
          <w:gridAfter w:val="1"/>
          <w:wAfter w:w="337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4C2C" w:rsidRDefault="00F14C2C" w:rsidP="00F14C2C">
            <w:pPr>
              <w:ind w:left="-223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 </w:t>
            </w:r>
            <w:r w:rsidR="00804ECF" w:rsidRPr="007A70A6">
              <w:rPr>
                <w:rFonts w:ascii="Times New Roman" w:hAnsi="Times New Roman" w:cs="Times New Roman"/>
                <w:sz w:val="28"/>
                <w:szCs w:val="28"/>
              </w:rPr>
              <w:t xml:space="preserve">РАН </w:t>
            </w:r>
          </w:p>
          <w:p w:rsidR="00804ECF" w:rsidRPr="007A70A6" w:rsidRDefault="00804ECF" w:rsidP="00F14C2C">
            <w:pPr>
              <w:ind w:left="-223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0A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F14C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70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14C2C">
              <w:rPr>
                <w:rFonts w:ascii="Times New Roman" w:hAnsi="Times New Roman" w:cs="Times New Roman"/>
                <w:sz w:val="28"/>
                <w:szCs w:val="28"/>
              </w:rPr>
              <w:t>Стоник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4C2C" w:rsidRDefault="00F14C2C" w:rsidP="007A7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ECF" w:rsidRPr="007A70A6" w:rsidRDefault="00804ECF" w:rsidP="00F14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0A6">
              <w:rPr>
                <w:rFonts w:ascii="Times New Roman" w:hAnsi="Times New Roman" w:cs="Times New Roman"/>
                <w:sz w:val="28"/>
                <w:szCs w:val="28"/>
              </w:rPr>
              <w:t xml:space="preserve">д.х.н. </w:t>
            </w:r>
            <w:r w:rsidR="00F14C2C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 w:rsidRPr="007A70A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14C2C">
              <w:rPr>
                <w:rFonts w:ascii="Times New Roman" w:hAnsi="Times New Roman" w:cs="Times New Roman"/>
                <w:sz w:val="28"/>
                <w:szCs w:val="28"/>
              </w:rPr>
              <w:t xml:space="preserve">расикова </w:t>
            </w:r>
          </w:p>
        </w:tc>
      </w:tr>
    </w:tbl>
    <w:p w:rsidR="00804ECF" w:rsidRPr="007A70A6" w:rsidRDefault="00804ECF" w:rsidP="0026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4ECF" w:rsidRPr="007A70A6" w:rsidSect="001F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90"/>
    <w:multiLevelType w:val="multilevel"/>
    <w:tmpl w:val="2D96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04461"/>
    <w:multiLevelType w:val="multilevel"/>
    <w:tmpl w:val="948C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characterSpacingControl w:val="doNotCompress"/>
  <w:compat/>
  <w:rsids>
    <w:rsidRoot w:val="00804ECF"/>
    <w:rsid w:val="000C045F"/>
    <w:rsid w:val="001F0008"/>
    <w:rsid w:val="00264822"/>
    <w:rsid w:val="003648FD"/>
    <w:rsid w:val="006A0144"/>
    <w:rsid w:val="006C6A27"/>
    <w:rsid w:val="007A70A6"/>
    <w:rsid w:val="00804ECF"/>
    <w:rsid w:val="0080755B"/>
    <w:rsid w:val="00A121CA"/>
    <w:rsid w:val="00F1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4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title">
    <w:name w:val="main_title"/>
    <w:basedOn w:val="a"/>
    <w:rsid w:val="0080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4ECF"/>
    <w:rPr>
      <w:color w:val="0000FF"/>
      <w:u w:val="single"/>
    </w:rPr>
  </w:style>
  <w:style w:type="paragraph" w:customStyle="1" w:styleId="desktop">
    <w:name w:val="desktop"/>
    <w:basedOn w:val="a"/>
    <w:rsid w:val="0080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80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InnaKras-w7</dc:creator>
  <cp:lastModifiedBy>InnaKras-w7</cp:lastModifiedBy>
  <cp:revision>4</cp:revision>
  <dcterms:created xsi:type="dcterms:W3CDTF">2016-08-09T05:16:00Z</dcterms:created>
  <dcterms:modified xsi:type="dcterms:W3CDTF">2016-09-26T05:36:00Z</dcterms:modified>
</cp:coreProperties>
</file>