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EF7C" w14:textId="11DB653C" w:rsidR="00601DE2" w:rsidRPr="004F18D9" w:rsidRDefault="00617980" w:rsidP="00601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исследований, проводимых в виварии ТИБОХ ДВО РАН</w:t>
      </w:r>
    </w:p>
    <w:p w14:paraId="2D2D38D2" w14:textId="77777777" w:rsidR="004F18D9" w:rsidRPr="00601DE2" w:rsidRDefault="004F18D9" w:rsidP="00601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E9A2C9" w14:textId="77777777" w:rsidR="00FB75C1" w:rsidRPr="001E2755" w:rsidRDefault="004F18D9" w:rsidP="00180D24">
      <w:pPr>
        <w:spacing w:line="240" w:lineRule="auto"/>
        <w:jc w:val="center"/>
        <w:rPr>
          <w:rStyle w:val="a3"/>
          <w:rFonts w:ascii="Times New Roman" w:hAnsi="Times New Roman" w:cs="Times New Roman"/>
          <w:color w:val="000080"/>
          <w:sz w:val="24"/>
          <w:szCs w:val="24"/>
        </w:rPr>
      </w:pPr>
      <w:r w:rsidRP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>Токсикология лекарстве</w:t>
      </w:r>
      <w:r w:rsid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>нных средств и биологически активных</w:t>
      </w:r>
      <w:r w:rsidRP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 xml:space="preserve"> веществ</w:t>
      </w:r>
      <w:r w:rsid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 xml:space="preserve"> (БАВ)</w:t>
      </w:r>
    </w:p>
    <w:p w14:paraId="3016D256" w14:textId="77777777" w:rsidR="004F18D9" w:rsidRPr="001E2755" w:rsidRDefault="004F18D9" w:rsidP="00180D24">
      <w:pPr>
        <w:pStyle w:val="a4"/>
        <w:jc w:val="both"/>
        <w:rPr>
          <w:rStyle w:val="a3"/>
          <w:color w:val="000000"/>
          <w:u w:val="single"/>
        </w:rPr>
      </w:pPr>
      <w:r w:rsidRPr="001E2755">
        <w:rPr>
          <w:rStyle w:val="a3"/>
          <w:color w:val="000000"/>
          <w:u w:val="single"/>
        </w:rPr>
        <w:t>Острая токсичность:</w:t>
      </w:r>
    </w:p>
    <w:p w14:paraId="768FF47F" w14:textId="77777777" w:rsidR="004F18D9" w:rsidRPr="001E2755" w:rsidRDefault="004F18D9" w:rsidP="00180D24">
      <w:pPr>
        <w:pStyle w:val="a4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color w:val="000000"/>
          <w:lang w:val="en-US"/>
        </w:rPr>
      </w:pPr>
      <w:r w:rsidRPr="001E2755">
        <w:rPr>
          <w:color w:val="000000"/>
        </w:rPr>
        <w:t>Острая токсичность вещества при пероральном введении (Руководство по проведению доклинических исследований лекарственных средств. Часть</w:t>
      </w:r>
      <w:r w:rsidRPr="001E2755">
        <w:rPr>
          <w:color w:val="000000"/>
          <w:lang w:val="en-US"/>
        </w:rPr>
        <w:t xml:space="preserve"> </w:t>
      </w:r>
      <w:r w:rsidRPr="001E2755">
        <w:rPr>
          <w:color w:val="000000"/>
        </w:rPr>
        <w:t>первая</w:t>
      </w:r>
      <w:r w:rsidRPr="001E2755">
        <w:rPr>
          <w:color w:val="000000"/>
          <w:lang w:val="en-US"/>
        </w:rPr>
        <w:t xml:space="preserve">. — </w:t>
      </w:r>
      <w:r w:rsidRPr="001E2755">
        <w:rPr>
          <w:color w:val="000000"/>
        </w:rPr>
        <w:t>М</w:t>
      </w:r>
      <w:r w:rsidRPr="001E2755">
        <w:rPr>
          <w:color w:val="000000"/>
          <w:lang w:val="en-US"/>
        </w:rPr>
        <w:t xml:space="preserve">.: </w:t>
      </w:r>
      <w:r w:rsidRPr="001E2755">
        <w:rPr>
          <w:color w:val="000000"/>
        </w:rPr>
        <w:t>Гриф</w:t>
      </w:r>
      <w:r w:rsidRPr="001E2755">
        <w:rPr>
          <w:color w:val="000000"/>
          <w:lang w:val="en-US"/>
        </w:rPr>
        <w:t xml:space="preserve"> </w:t>
      </w:r>
      <w:r w:rsidRPr="001E2755">
        <w:rPr>
          <w:color w:val="000000"/>
        </w:rPr>
        <w:t>и</w:t>
      </w:r>
      <w:r w:rsidRPr="001E2755">
        <w:rPr>
          <w:color w:val="000000"/>
          <w:lang w:val="en-US"/>
        </w:rPr>
        <w:t xml:space="preserve"> </w:t>
      </w:r>
      <w:r w:rsidRPr="001E2755">
        <w:rPr>
          <w:color w:val="000000"/>
        </w:rPr>
        <w:t>К</w:t>
      </w:r>
      <w:r w:rsidRPr="001E2755">
        <w:rPr>
          <w:color w:val="000000"/>
          <w:lang w:val="en-US"/>
        </w:rPr>
        <w:t xml:space="preserve">, 2013. — 944 </w:t>
      </w:r>
      <w:r w:rsidRPr="001E2755">
        <w:rPr>
          <w:color w:val="000000"/>
        </w:rPr>
        <w:t>с</w:t>
      </w:r>
      <w:r w:rsidRPr="001E2755">
        <w:rPr>
          <w:color w:val="000000"/>
          <w:lang w:val="en-US"/>
        </w:rPr>
        <w:t xml:space="preserve">.; OECD Guidelines for testing chemicals No. 401, 420, 423, 425) </w:t>
      </w:r>
    </w:p>
    <w:p w14:paraId="0BA3A261" w14:textId="77777777" w:rsidR="004F18D9" w:rsidRPr="001E2755" w:rsidRDefault="004F18D9" w:rsidP="00180D24">
      <w:pPr>
        <w:pStyle w:val="a4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color w:val="000000"/>
        </w:rPr>
      </w:pPr>
      <w:r w:rsidRPr="001E2755">
        <w:rPr>
          <w:color w:val="000000"/>
        </w:rPr>
        <w:t xml:space="preserve">Острая токсичность вещества при накожном применении («Руководство…», 2013; OECD </w:t>
      </w:r>
      <w:proofErr w:type="spellStart"/>
      <w:r w:rsidRPr="001E2755">
        <w:rPr>
          <w:color w:val="000000"/>
        </w:rPr>
        <w:t>Guidelines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for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testing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chemicals</w:t>
      </w:r>
      <w:proofErr w:type="spellEnd"/>
      <w:r w:rsidRPr="001E2755">
        <w:rPr>
          <w:color w:val="000000"/>
        </w:rPr>
        <w:t xml:space="preserve"> No. 402) </w:t>
      </w:r>
    </w:p>
    <w:p w14:paraId="1F9908A1" w14:textId="77777777" w:rsidR="004F18D9" w:rsidRPr="001E2755" w:rsidRDefault="004F18D9" w:rsidP="00180D24">
      <w:pPr>
        <w:pStyle w:val="a4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color w:val="000000"/>
        </w:rPr>
      </w:pPr>
      <w:r w:rsidRPr="001E2755">
        <w:rPr>
          <w:color w:val="000000"/>
        </w:rPr>
        <w:t xml:space="preserve">Острая токсичность вещества при внутривенном введении («Руководство…», 2013; OECD </w:t>
      </w:r>
      <w:proofErr w:type="spellStart"/>
      <w:r w:rsidRPr="001E2755">
        <w:rPr>
          <w:color w:val="000000"/>
        </w:rPr>
        <w:t>Guidelines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for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testing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chemicals</w:t>
      </w:r>
      <w:proofErr w:type="spellEnd"/>
      <w:r w:rsidRPr="001E2755">
        <w:rPr>
          <w:color w:val="000000"/>
        </w:rPr>
        <w:t xml:space="preserve"> No. 401, 420, 423, 425)</w:t>
      </w:r>
    </w:p>
    <w:p w14:paraId="4CECD477" w14:textId="77777777" w:rsidR="00447F54" w:rsidRPr="001E2755" w:rsidRDefault="00447F54" w:rsidP="00180D24">
      <w:pPr>
        <w:pStyle w:val="a4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color w:val="000000"/>
        </w:rPr>
      </w:pPr>
      <w:r w:rsidRPr="001E2755">
        <w:rPr>
          <w:color w:val="000000"/>
        </w:rPr>
        <w:t xml:space="preserve">Острая токсичность вещества при внутрибрюшинном введении («Руководство…», 2013; OECD </w:t>
      </w:r>
      <w:proofErr w:type="spellStart"/>
      <w:r w:rsidRPr="001E2755">
        <w:rPr>
          <w:color w:val="000000"/>
        </w:rPr>
        <w:t>Guidelines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for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testing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chemicals</w:t>
      </w:r>
      <w:proofErr w:type="spellEnd"/>
      <w:r w:rsidRPr="001E2755">
        <w:rPr>
          <w:color w:val="000000"/>
        </w:rPr>
        <w:t xml:space="preserve"> No. 401, 420, 423, 425)</w:t>
      </w:r>
    </w:p>
    <w:p w14:paraId="349FBA1D" w14:textId="77777777" w:rsidR="004F18D9" w:rsidRPr="001E2755" w:rsidRDefault="004F18D9" w:rsidP="00180D24">
      <w:pPr>
        <w:pStyle w:val="a4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color w:val="000000"/>
        </w:rPr>
      </w:pPr>
      <w:r w:rsidRPr="001E2755">
        <w:rPr>
          <w:color w:val="000000"/>
        </w:rPr>
        <w:t xml:space="preserve">Острая токсичность вещества при подкожном введении («Руководство…», 2013; OECD </w:t>
      </w:r>
      <w:proofErr w:type="spellStart"/>
      <w:r w:rsidRPr="001E2755">
        <w:rPr>
          <w:color w:val="000000"/>
        </w:rPr>
        <w:t>Guidelines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for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testing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chemicals</w:t>
      </w:r>
      <w:proofErr w:type="spellEnd"/>
      <w:r w:rsidRPr="001E2755">
        <w:rPr>
          <w:color w:val="000000"/>
        </w:rPr>
        <w:t xml:space="preserve"> No. 401, 420, 423, 425)</w:t>
      </w:r>
    </w:p>
    <w:p w14:paraId="6EB3BF0D" w14:textId="77777777" w:rsidR="004F18D9" w:rsidRPr="001E2755" w:rsidRDefault="004F18D9" w:rsidP="00180D24">
      <w:pPr>
        <w:pStyle w:val="a4"/>
        <w:jc w:val="both"/>
        <w:rPr>
          <w:color w:val="000000"/>
        </w:rPr>
      </w:pPr>
      <w:r w:rsidRPr="001E2755">
        <w:rPr>
          <w:rStyle w:val="a3"/>
          <w:color w:val="000000"/>
          <w:u w:val="single"/>
        </w:rPr>
        <w:t>Хроническая токсичность:</w:t>
      </w:r>
    </w:p>
    <w:p w14:paraId="00B551BC" w14:textId="77777777" w:rsidR="001E2755" w:rsidRDefault="004F18D9" w:rsidP="00180D24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E2755">
        <w:rPr>
          <w:color w:val="000000"/>
        </w:rPr>
        <w:t>Субхроническое</w:t>
      </w:r>
      <w:proofErr w:type="spellEnd"/>
      <w:r w:rsidRPr="001E2755">
        <w:rPr>
          <w:color w:val="000000"/>
        </w:rPr>
        <w:t xml:space="preserve"> токсикологическое исследование на грызунах при пероральном (и других способах) введении в течение 14 дней («Руководство…», 2013)</w:t>
      </w:r>
    </w:p>
    <w:p w14:paraId="470D3E16" w14:textId="77777777" w:rsidR="001E2755" w:rsidRDefault="004F18D9" w:rsidP="00180D24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E2755">
        <w:rPr>
          <w:color w:val="000000"/>
        </w:rPr>
        <w:t>Субхроническое</w:t>
      </w:r>
      <w:proofErr w:type="spellEnd"/>
      <w:r w:rsidRPr="001E2755">
        <w:rPr>
          <w:color w:val="000000"/>
        </w:rPr>
        <w:t xml:space="preserve"> токсикологическое исследование при пероральном (и других способах) введении в течение 28 дней (два вида животных) («Руководство…», 2013; OECD </w:t>
      </w:r>
      <w:proofErr w:type="spellStart"/>
      <w:r w:rsidRPr="001E2755">
        <w:rPr>
          <w:color w:val="000000"/>
        </w:rPr>
        <w:t>Guidelines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for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testing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chemicals</w:t>
      </w:r>
      <w:proofErr w:type="spellEnd"/>
      <w:r w:rsidRPr="001E2755">
        <w:rPr>
          <w:color w:val="000000"/>
        </w:rPr>
        <w:t xml:space="preserve"> No. 407) </w:t>
      </w:r>
    </w:p>
    <w:p w14:paraId="6213B2F3" w14:textId="77777777" w:rsidR="004F18D9" w:rsidRPr="001E2755" w:rsidRDefault="004F18D9" w:rsidP="00180D24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E2755">
        <w:rPr>
          <w:color w:val="000000"/>
        </w:rPr>
        <w:t>Субхроническое</w:t>
      </w:r>
      <w:proofErr w:type="spellEnd"/>
      <w:r w:rsidRPr="001E2755">
        <w:rPr>
          <w:color w:val="000000"/>
        </w:rPr>
        <w:t xml:space="preserve"> токсикологическое исследование при пероральном (и других способах) введении в течение 90 дней (два вида животных) («Руководство…», 2013; OECD </w:t>
      </w:r>
      <w:proofErr w:type="spellStart"/>
      <w:r w:rsidRPr="001E2755">
        <w:rPr>
          <w:color w:val="000000"/>
        </w:rPr>
        <w:t>Guidelines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for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testing</w:t>
      </w:r>
      <w:proofErr w:type="spellEnd"/>
      <w:r w:rsidRPr="001E2755">
        <w:rPr>
          <w:color w:val="000000"/>
        </w:rPr>
        <w:t xml:space="preserve"> </w:t>
      </w:r>
      <w:proofErr w:type="spellStart"/>
      <w:r w:rsidRPr="001E2755">
        <w:rPr>
          <w:color w:val="000000"/>
        </w:rPr>
        <w:t>chemicals</w:t>
      </w:r>
      <w:proofErr w:type="spellEnd"/>
      <w:r w:rsidRPr="001E2755">
        <w:rPr>
          <w:color w:val="000000"/>
        </w:rPr>
        <w:t xml:space="preserve"> No. 408, 409)</w:t>
      </w:r>
    </w:p>
    <w:p w14:paraId="28C4FB3B" w14:textId="77777777" w:rsidR="001E2755" w:rsidRDefault="001E2755" w:rsidP="00180D24">
      <w:pPr>
        <w:spacing w:line="240" w:lineRule="auto"/>
        <w:jc w:val="both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</w:p>
    <w:p w14:paraId="27E6CFF1" w14:textId="77777777" w:rsidR="001E2755" w:rsidRPr="001E2755" w:rsidRDefault="001E2755" w:rsidP="00180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Модель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токсического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поражения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печени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четыреххлористым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углеродом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(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Ju HY, Hu KX, Zhao GW, Tang ZS, Song X. Design, Preparation, and Characterization of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Dioscin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Nanosuspensions and Evaluation of Their Protective Effect against Carbon Tetrachloride-Induced Acute Liver Injury in Mice // Evid Based Complement Alternat Med. 2019. </w:t>
      </w:r>
      <w:r w:rsidRPr="001E2755">
        <w:rPr>
          <w:rFonts w:ascii="Times New Roman" w:hAnsi="Times New Roman" w:cs="Times New Roman"/>
          <w:sz w:val="24"/>
          <w:szCs w:val="24"/>
        </w:rPr>
        <w:t xml:space="preserve">№ 14; 3907915.;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Белостоцкий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Варванина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Г.Г., Ткаченко Е.В., Хомерики С.Г. Влияние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силимарина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на повреждения печени, вызванные четыреххлористым углеродом // Регулярные выпуски «РМЖ» 2015. №13. стр. 763</w:t>
      </w:r>
      <w:r w:rsidRPr="001E2755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14:paraId="5CC40B4B" w14:textId="77777777" w:rsidR="007004C6" w:rsidRPr="001E2755" w:rsidRDefault="007004C6" w:rsidP="00180D24">
      <w:pPr>
        <w:spacing w:line="240" w:lineRule="auto"/>
        <w:jc w:val="both"/>
        <w:rPr>
          <w:rStyle w:val="a3"/>
          <w:rFonts w:ascii="Times New Roman" w:hAnsi="Times New Roman" w:cs="Times New Roman"/>
          <w:color w:val="000080"/>
          <w:sz w:val="24"/>
          <w:szCs w:val="24"/>
        </w:rPr>
      </w:pPr>
      <w:r w:rsidRP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>Специфические виды активностей</w:t>
      </w:r>
      <w:r w:rsid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1E2755" w:rsidRP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>лекарстве</w:t>
      </w:r>
      <w:r w:rsid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>нных средств и биологически активных</w:t>
      </w:r>
      <w:r w:rsidR="001E2755" w:rsidRP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 xml:space="preserve"> веществ</w:t>
      </w:r>
      <w:r w:rsidR="001E2755">
        <w:rPr>
          <w:rStyle w:val="a3"/>
          <w:rFonts w:ascii="Times New Roman" w:hAnsi="Times New Roman" w:cs="Times New Roman"/>
          <w:color w:val="000080"/>
          <w:sz w:val="24"/>
          <w:szCs w:val="24"/>
        </w:rPr>
        <w:t xml:space="preserve"> (БАВ)</w:t>
      </w:r>
    </w:p>
    <w:p w14:paraId="67F225AB" w14:textId="77777777" w:rsidR="001E2755" w:rsidRPr="001E2755" w:rsidRDefault="001E2755" w:rsidP="00180D24">
      <w:pPr>
        <w:pStyle w:val="a5"/>
        <w:spacing w:before="100" w:beforeAutospacing="1" w:after="100" w:afterAutospacing="1" w:line="240" w:lineRule="auto"/>
        <w:ind w:hanging="720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E2755">
        <w:rPr>
          <w:rStyle w:val="a3"/>
          <w:rFonts w:ascii="Times New Roman" w:hAnsi="Times New Roman" w:cs="Times New Roman"/>
          <w:sz w:val="24"/>
          <w:szCs w:val="24"/>
          <w:u w:val="single"/>
        </w:rPr>
        <w:t>Исследование влияния БАВ на поведение и состояние нервной системы:</w:t>
      </w:r>
    </w:p>
    <w:p w14:paraId="4F9C00C3" w14:textId="77777777" w:rsidR="001E2755" w:rsidRPr="001E2755" w:rsidRDefault="001E2755" w:rsidP="00180D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 xml:space="preserve">Тест «Открытое поле» (Руководство по проведению доклинических исследований лекарственных средств.  Миронов А.Н.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Батутян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Н.Д. Часть первая. — М.: Гриф и К, 2012. — 944 с.)</w:t>
      </w:r>
    </w:p>
    <w:p w14:paraId="2ED62B68" w14:textId="77777777" w:rsidR="001E2755" w:rsidRPr="001E2755" w:rsidRDefault="001E2755" w:rsidP="00446C3E">
      <w:pPr>
        <w:pStyle w:val="a5"/>
        <w:numPr>
          <w:ilvl w:val="0"/>
          <w:numId w:val="15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 xml:space="preserve">Тест «Приподнятый крестообразный лабиринт» (Руководство по проведению доклинических исследований лекарственных средств.  Миронов А.Н.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Батутян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Н.Д. Часть первая. — М.: Гриф и К, 2012. — 944 с.)</w:t>
      </w:r>
    </w:p>
    <w:p w14:paraId="694C0434" w14:textId="28C76725" w:rsidR="00446C3E" w:rsidRDefault="00446C3E" w:rsidP="00180D2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14:paraId="04CCC0B3" w14:textId="77777777" w:rsidR="00617980" w:rsidRDefault="00617980" w:rsidP="00180D2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14:paraId="244A2D69" w14:textId="77777777" w:rsidR="007004C6" w:rsidRPr="001E2755" w:rsidRDefault="007004C6" w:rsidP="00180D2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E2755">
        <w:rPr>
          <w:rStyle w:val="a3"/>
          <w:rFonts w:ascii="Times New Roman" w:hAnsi="Times New Roman" w:cs="Times New Roman"/>
          <w:sz w:val="24"/>
          <w:szCs w:val="24"/>
          <w:u w:val="single"/>
        </w:rPr>
        <w:lastRenderedPageBreak/>
        <w:t>Исследование противоаллергической активности БАВ:</w:t>
      </w:r>
    </w:p>
    <w:p w14:paraId="4CBCEBE9" w14:textId="77777777" w:rsidR="007004C6" w:rsidRPr="001E2755" w:rsidRDefault="007004C6" w:rsidP="00180D2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 аллергического контактного дерматита, индуцированная 2,4-</w:t>
      </w:r>
      <w:proofErr w:type="gramStart"/>
      <w:r w:rsidRPr="001E2755">
        <w:rPr>
          <w:rFonts w:ascii="Times New Roman" w:hAnsi="Times New Roman" w:cs="Times New Roman"/>
          <w:sz w:val="24"/>
          <w:szCs w:val="24"/>
        </w:rPr>
        <w:t>динитрофторбензолом  (</w:t>
      </w:r>
      <w:proofErr w:type="gramEnd"/>
      <w:r w:rsidRPr="001E2755">
        <w:rPr>
          <w:rFonts w:ascii="Times New Roman" w:hAnsi="Times New Roman" w:cs="Times New Roman"/>
          <w:sz w:val="24"/>
          <w:szCs w:val="24"/>
          <w:lang w:val="en-US"/>
        </w:rPr>
        <w:t>Yuan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Guo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aloperine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E2755">
        <w:rPr>
          <w:rFonts w:ascii="Times New Roman" w:hAnsi="Times New Roman" w:cs="Times New Roman"/>
          <w:sz w:val="24"/>
          <w:szCs w:val="24"/>
        </w:rPr>
        <w:t xml:space="preserve"> 2, 4-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dinitrofluorobenzene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allergic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dermatitis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BALB</w:t>
      </w:r>
      <w:r w:rsidRPr="001E2755">
        <w:rPr>
          <w:rFonts w:ascii="Times New Roman" w:hAnsi="Times New Roman" w:cs="Times New Roman"/>
          <w:sz w:val="24"/>
          <w:szCs w:val="24"/>
        </w:rPr>
        <w:t>/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1E2755">
        <w:rPr>
          <w:rFonts w:ascii="Times New Roman" w:hAnsi="Times New Roman" w:cs="Times New Roman"/>
          <w:sz w:val="24"/>
          <w:szCs w:val="24"/>
        </w:rPr>
        <w:t xml:space="preserve"> //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Pr="001E2755">
        <w:rPr>
          <w:rFonts w:ascii="Times New Roman" w:hAnsi="Times New Roman" w:cs="Times New Roman"/>
          <w:sz w:val="24"/>
          <w:szCs w:val="24"/>
        </w:rPr>
        <w:t xml:space="preserve">. 2010.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2755">
        <w:rPr>
          <w:rFonts w:ascii="Times New Roman" w:hAnsi="Times New Roman" w:cs="Times New Roman"/>
          <w:sz w:val="24"/>
          <w:szCs w:val="24"/>
        </w:rPr>
        <w:t xml:space="preserve">. 629, № 1–3,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2755">
        <w:rPr>
          <w:rFonts w:ascii="Times New Roman" w:hAnsi="Times New Roman" w:cs="Times New Roman"/>
          <w:sz w:val="24"/>
          <w:szCs w:val="24"/>
        </w:rPr>
        <w:t>. 147-152.);</w:t>
      </w:r>
    </w:p>
    <w:p w14:paraId="06B33086" w14:textId="77777777" w:rsidR="007004C6" w:rsidRPr="001E2755" w:rsidRDefault="007004C6" w:rsidP="00446C3E">
      <w:pPr>
        <w:pStyle w:val="a5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 xml:space="preserve">Модель псориаза, индуцированная мазью с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имиквимодом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(</w:t>
      </w:r>
      <w:r w:rsidR="002F566D" w:rsidRPr="001E2755">
        <w:rPr>
          <w:rFonts w:ascii="Times New Roman" w:hAnsi="Times New Roman" w:cs="Times New Roman"/>
          <w:sz w:val="24"/>
          <w:szCs w:val="24"/>
        </w:rPr>
        <w:t xml:space="preserve">Зуева А.А., Крышень К.Л., Макарова М.Н. и др. Апробация модели </w:t>
      </w:r>
      <w:proofErr w:type="spellStart"/>
      <w:r w:rsidR="002F566D" w:rsidRPr="001E2755">
        <w:rPr>
          <w:rFonts w:ascii="Times New Roman" w:hAnsi="Times New Roman" w:cs="Times New Roman"/>
          <w:sz w:val="24"/>
          <w:szCs w:val="24"/>
        </w:rPr>
        <w:t>имиквимод</w:t>
      </w:r>
      <w:proofErr w:type="spellEnd"/>
      <w:r w:rsidR="002F566D" w:rsidRPr="001E2755">
        <w:rPr>
          <w:rFonts w:ascii="Times New Roman" w:hAnsi="Times New Roman" w:cs="Times New Roman"/>
          <w:sz w:val="24"/>
          <w:szCs w:val="24"/>
        </w:rPr>
        <w:t xml:space="preserve">-индуцированного </w:t>
      </w:r>
      <w:proofErr w:type="spellStart"/>
      <w:r w:rsidR="002F566D" w:rsidRPr="001E2755">
        <w:rPr>
          <w:rFonts w:ascii="Times New Roman" w:hAnsi="Times New Roman" w:cs="Times New Roman"/>
          <w:sz w:val="24"/>
          <w:szCs w:val="24"/>
        </w:rPr>
        <w:t>псориазоподобного</w:t>
      </w:r>
      <w:proofErr w:type="spellEnd"/>
      <w:r w:rsidR="002F566D" w:rsidRPr="001E2755">
        <w:rPr>
          <w:rFonts w:ascii="Times New Roman" w:hAnsi="Times New Roman" w:cs="Times New Roman"/>
          <w:sz w:val="24"/>
          <w:szCs w:val="24"/>
        </w:rPr>
        <w:t xml:space="preserve"> воспаления кожи у мышей линии </w:t>
      </w:r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>BALB</w:t>
      </w:r>
      <w:r w:rsidR="002F566D" w:rsidRPr="001E2755">
        <w:rPr>
          <w:rFonts w:ascii="Times New Roman" w:hAnsi="Times New Roman" w:cs="Times New Roman"/>
          <w:sz w:val="24"/>
          <w:szCs w:val="24"/>
        </w:rPr>
        <w:t xml:space="preserve">/с // Трансляционная медицина. </w:t>
      </w:r>
      <w:r w:rsidR="002F566D" w:rsidRPr="00617980">
        <w:rPr>
          <w:rFonts w:ascii="Times New Roman" w:hAnsi="Times New Roman" w:cs="Times New Roman"/>
          <w:sz w:val="24"/>
          <w:szCs w:val="24"/>
        </w:rPr>
        <w:t xml:space="preserve">2019; </w:t>
      </w:r>
      <w:r w:rsidR="002F566D" w:rsidRPr="001E2755">
        <w:rPr>
          <w:rFonts w:ascii="Times New Roman" w:hAnsi="Times New Roman" w:cs="Times New Roman"/>
          <w:sz w:val="24"/>
          <w:szCs w:val="24"/>
        </w:rPr>
        <w:t>Том</w:t>
      </w:r>
      <w:r w:rsidR="002F566D" w:rsidRPr="00617980">
        <w:rPr>
          <w:rFonts w:ascii="Times New Roman" w:hAnsi="Times New Roman" w:cs="Times New Roman"/>
          <w:sz w:val="24"/>
          <w:szCs w:val="24"/>
        </w:rPr>
        <w:t xml:space="preserve">. 6, № 4. </w:t>
      </w:r>
      <w:r w:rsidR="002F566D" w:rsidRPr="001E2755">
        <w:rPr>
          <w:rFonts w:ascii="Times New Roman" w:hAnsi="Times New Roman" w:cs="Times New Roman"/>
          <w:sz w:val="24"/>
          <w:szCs w:val="24"/>
        </w:rPr>
        <w:t>С</w:t>
      </w:r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. 50–58.; J. Zhao, T. Di, Y. Wang, Y. Wang, X. Liu, D. Liang, P. Li // Paeoniflorin inhibits imiquimod-induced psoriasis in mice byre </w:t>
      </w:r>
      <w:proofErr w:type="spellStart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>gulating</w:t>
      </w:r>
      <w:proofErr w:type="spellEnd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Th17 cell response and </w:t>
      </w:r>
      <w:proofErr w:type="spellStart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>cytokinese</w:t>
      </w:r>
      <w:proofErr w:type="spellEnd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>cretion</w:t>
      </w:r>
      <w:proofErr w:type="spellEnd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// Eur. J. </w:t>
      </w:r>
      <w:proofErr w:type="spellStart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>Pharmacol</w:t>
      </w:r>
      <w:proofErr w:type="spellEnd"/>
      <w:r w:rsidR="002F566D" w:rsidRPr="001E2755">
        <w:rPr>
          <w:rFonts w:ascii="Times New Roman" w:hAnsi="Times New Roman" w:cs="Times New Roman"/>
          <w:sz w:val="24"/>
          <w:szCs w:val="24"/>
          <w:lang w:val="en-US"/>
        </w:rPr>
        <w:t>. - 2016. – Vol. 772. P</w:t>
      </w:r>
      <w:r w:rsidR="002F566D" w:rsidRPr="001E2755">
        <w:rPr>
          <w:rFonts w:ascii="Times New Roman" w:hAnsi="Times New Roman" w:cs="Times New Roman"/>
          <w:sz w:val="24"/>
          <w:szCs w:val="24"/>
        </w:rPr>
        <w:t>. 131-143.</w:t>
      </w:r>
      <w:r w:rsidRPr="001E2755">
        <w:rPr>
          <w:rFonts w:ascii="Times New Roman" w:hAnsi="Times New Roman" w:cs="Times New Roman"/>
          <w:sz w:val="24"/>
          <w:szCs w:val="24"/>
        </w:rPr>
        <w:t>)</w:t>
      </w:r>
    </w:p>
    <w:p w14:paraId="23594738" w14:textId="77777777" w:rsidR="007004C6" w:rsidRPr="001E2755" w:rsidRDefault="002F566D" w:rsidP="00180D24">
      <w:pPr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E2755">
        <w:rPr>
          <w:rStyle w:val="a3"/>
          <w:rFonts w:ascii="Times New Roman" w:hAnsi="Times New Roman" w:cs="Times New Roman"/>
          <w:sz w:val="24"/>
          <w:szCs w:val="24"/>
          <w:u w:val="single"/>
        </w:rPr>
        <w:t>Исследование анальгетической активности БАВ:</w:t>
      </w:r>
    </w:p>
    <w:p w14:paraId="330DEE36" w14:textId="77777777" w:rsidR="00135CA0" w:rsidRPr="001E2755" w:rsidRDefault="002F566D" w:rsidP="00180D2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Модель </w:t>
      </w:r>
      <w:r w:rsidRPr="001E2755">
        <w:rPr>
          <w:rFonts w:ascii="Times New Roman" w:hAnsi="Times New Roman" w:cs="Times New Roman"/>
          <w:sz w:val="24"/>
          <w:szCs w:val="24"/>
        </w:rPr>
        <w:t>соматогенного (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ноцицептивного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>) болевого синдрома</w:t>
      </w:r>
      <w:r w:rsidR="00135CA0" w:rsidRPr="001E2755">
        <w:rPr>
          <w:rFonts w:ascii="Times New Roman" w:hAnsi="Times New Roman" w:cs="Times New Roman"/>
          <w:sz w:val="24"/>
          <w:szCs w:val="24"/>
        </w:rPr>
        <w:t xml:space="preserve">, индуцированная </w:t>
      </w:r>
      <w:proofErr w:type="spellStart"/>
      <w:r w:rsidR="00135CA0" w:rsidRPr="001E2755">
        <w:rPr>
          <w:rFonts w:ascii="Times New Roman" w:hAnsi="Times New Roman" w:cs="Times New Roman"/>
          <w:sz w:val="24"/>
          <w:szCs w:val="24"/>
        </w:rPr>
        <w:t>капсаицином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(Руководство по проведению доклинических исследований лекарственных средств. Миронов А.Н.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Батутян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Н.Д. Часть первая. — М.: Гриф и К, 2013. — 944 с.; Бондаренко Д.А., Дьяченко И.А.,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Скобцов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Д.И., Мурашев </w:t>
      </w:r>
      <w:proofErr w:type="gramStart"/>
      <w:r w:rsidRPr="001E2755">
        <w:rPr>
          <w:rFonts w:ascii="Times New Roman" w:hAnsi="Times New Roman" w:cs="Times New Roman"/>
          <w:sz w:val="24"/>
          <w:szCs w:val="24"/>
        </w:rPr>
        <w:t>А.Н..</w:t>
      </w:r>
      <w:proofErr w:type="gram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1E2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Pr="001E2755">
        <w:rPr>
          <w:rFonts w:ascii="Times New Roman" w:hAnsi="Times New Roman" w:cs="Times New Roman"/>
          <w:sz w:val="24"/>
          <w:szCs w:val="24"/>
        </w:rPr>
        <w:t xml:space="preserve"> модели для изучения анальгетической активности // Биомедицина. 2011, № 2, С. 84-94).</w:t>
      </w:r>
    </w:p>
    <w:p w14:paraId="3878504E" w14:textId="77777777" w:rsidR="00135CA0" w:rsidRPr="00617980" w:rsidRDefault="00135CA0" w:rsidP="00180D2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7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Модель </w:t>
      </w:r>
      <w:r w:rsidRPr="001E2755">
        <w:rPr>
          <w:rFonts w:ascii="Times New Roman" w:hAnsi="Times New Roman" w:cs="Times New Roman"/>
          <w:sz w:val="24"/>
          <w:szCs w:val="24"/>
        </w:rPr>
        <w:t>соматогенного (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ноцицептивного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) болевого синдрома, индуцированная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Аллилизотиоцианатом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(Руководство по проведению доклинических исследований лекарственных средств. Миронов А.Н.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Батутян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Н.Д. Часть первая. — М.: Гриф и К, 2013. — 944 с.;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Samer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Eid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Eric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Crown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Eric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Moore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Hongyu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Liang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Kar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Choong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Shelley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Dima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Darrell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Henze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Stefanie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Kane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HC-030031, a TRPA1 selective antagonist, attenuates inflammatory and neuropathy-induced mechanical hypersensitivity // Mol Pain. 2008. Vol. 4. P. 48. 10.1186/1744-8069-4-48.;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Logashina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Irina V.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Mosharova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Korolkova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Irina V.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Shelukhina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Igor A.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Dyachenko,Victor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Palikov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Palikova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Arkadii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Murashev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Sergey A. Kozlov, Klara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Stensvag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Yaroslav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A. Andreev. Peptide from Sea Anemone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Metridium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senile Affects Transient Receptor Potential Ankyrin-repeat 1 (TRPA1) Function and Produces Analgesic Effect. The journal of biological chemistry. 2017. V. 292, №. 7, P. 2992–3004. DOI 10.1074/jbc.M116.757369</w:t>
      </w:r>
      <w:r w:rsidRPr="0061798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AAD8D22" w14:textId="77777777" w:rsidR="002F566D" w:rsidRPr="001E2755" w:rsidRDefault="002F566D" w:rsidP="00446C3E">
      <w:pPr>
        <w:pStyle w:val="a5"/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 острой висцеральной и глубокой соматической боли (корчи)</w:t>
      </w:r>
      <w:r w:rsidR="00135CA0" w:rsidRPr="001E2755">
        <w:rPr>
          <w:rFonts w:ascii="Times New Roman" w:hAnsi="Times New Roman" w:cs="Times New Roman"/>
          <w:sz w:val="24"/>
          <w:szCs w:val="24"/>
        </w:rPr>
        <w:t>, индуцированная водным раствором уксусной кислоты</w:t>
      </w:r>
      <w:r w:rsidRPr="001E2755">
        <w:rPr>
          <w:rFonts w:ascii="Times New Roman" w:hAnsi="Times New Roman" w:cs="Times New Roman"/>
          <w:sz w:val="24"/>
          <w:szCs w:val="24"/>
        </w:rPr>
        <w:t xml:space="preserve"> (Руководство по проведению доклинических исследований лекарственных средств. Миронов А.Н.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Батутян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Н.Д. Часть первая. — М.: Гриф и К, 2013. — 944 с.; Бондаренко Д.А., Дьяченко И.А.,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Скобцов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Д.И., Мурашев </w:t>
      </w:r>
      <w:proofErr w:type="gramStart"/>
      <w:r w:rsidRPr="001E2755">
        <w:rPr>
          <w:rFonts w:ascii="Times New Roman" w:hAnsi="Times New Roman" w:cs="Times New Roman"/>
          <w:sz w:val="24"/>
          <w:szCs w:val="24"/>
        </w:rPr>
        <w:t>А.Н..</w:t>
      </w:r>
      <w:proofErr w:type="gram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1E2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Pr="001E2755">
        <w:rPr>
          <w:rFonts w:ascii="Times New Roman" w:hAnsi="Times New Roman" w:cs="Times New Roman"/>
          <w:sz w:val="24"/>
          <w:szCs w:val="24"/>
        </w:rPr>
        <w:t xml:space="preserve"> модели для изучения анальгетической активности // Биомедицина. 2011, № 2, С. 84-94).</w:t>
      </w:r>
    </w:p>
    <w:p w14:paraId="6F0C5885" w14:textId="77777777" w:rsidR="00CB2C46" w:rsidRPr="001E2755" w:rsidRDefault="00CB2C46" w:rsidP="00446C3E">
      <w:pPr>
        <w:pStyle w:val="a5"/>
        <w:spacing w:before="100" w:beforeAutospacing="1" w:after="100" w:afterAutospacing="1" w:line="240" w:lineRule="auto"/>
        <w:ind w:hanging="720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E2755">
        <w:rPr>
          <w:rStyle w:val="a3"/>
          <w:rFonts w:ascii="Times New Roman" w:hAnsi="Times New Roman" w:cs="Times New Roman"/>
          <w:sz w:val="24"/>
          <w:szCs w:val="24"/>
          <w:u w:val="single"/>
        </w:rPr>
        <w:t>Исследование противовоспалительной активности БАВ:</w:t>
      </w:r>
    </w:p>
    <w:p w14:paraId="47ACDA3B" w14:textId="77777777" w:rsidR="002F566D" w:rsidRPr="001E2755" w:rsidRDefault="00CB2C46" w:rsidP="00180D2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 острого локального воспаления каррагинаном (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Christopher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Morris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Carrageenan-Induced Paw Edema in the Rat and Mouse // P. 115 – 121 From: Methods in Molecular Biology, vol. 225: Inflammation Protocols Edited by: P. G.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Winyard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and D. A. Willoughby © Humana Press Inc., Totowa, N.J. 2003.;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Tobacman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J. K. Review of harmful gastrointestinal effects of carrageenan in animal experiments / J. K.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Tobacman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// Environ. Health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Perspect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>. – 2001 Oct. – Vol. 109, N 10. – P. 983-994)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</w:p>
    <w:p w14:paraId="4D3CE346" w14:textId="77777777" w:rsidR="00CB2C46" w:rsidRPr="001E2755" w:rsidRDefault="00CB2C46" w:rsidP="00180D2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системного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воспаления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</w:rPr>
        <w:t>индуцированная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липополисахаридом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из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i/>
          <w:sz w:val="24"/>
          <w:szCs w:val="24"/>
          <w:lang w:val="en-US"/>
        </w:rPr>
        <w:t>E. Coli (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Dudhgaonkar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Thyagarajan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Sliva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D. Suppression of the inflammatory response by triterpenes isolated from the mushroom Ganoderma lucidum // Int.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Immunopharmacol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>. 2009. V. 9, № 11. P. 1272 – 1280</w:t>
      </w:r>
      <w:r w:rsidRPr="001E2755">
        <w:rPr>
          <w:rFonts w:ascii="Times New Roman" w:hAnsi="Times New Roman" w:cs="Times New Roman"/>
          <w:sz w:val="24"/>
          <w:szCs w:val="24"/>
        </w:rPr>
        <w:t>).</w:t>
      </w:r>
    </w:p>
    <w:p w14:paraId="33E7C61A" w14:textId="77777777" w:rsidR="00E56A32" w:rsidRDefault="00E56A32" w:rsidP="00180D24">
      <w:pPr>
        <w:pStyle w:val="a5"/>
        <w:spacing w:before="100" w:beforeAutospacing="1" w:after="100" w:afterAutospacing="1" w:line="240" w:lineRule="auto"/>
        <w:ind w:hanging="720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14:paraId="5DA7ACD5" w14:textId="77777777" w:rsidR="00771269" w:rsidRPr="001E2755" w:rsidRDefault="00771269" w:rsidP="00180D24">
      <w:pPr>
        <w:pStyle w:val="a5"/>
        <w:spacing w:before="100" w:beforeAutospacing="1" w:after="100" w:afterAutospacing="1" w:line="240" w:lineRule="auto"/>
        <w:ind w:hanging="720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E2755">
        <w:rPr>
          <w:rStyle w:val="a3"/>
          <w:rFonts w:ascii="Times New Roman" w:hAnsi="Times New Roman" w:cs="Times New Roman"/>
          <w:sz w:val="24"/>
          <w:szCs w:val="24"/>
          <w:u w:val="single"/>
        </w:rPr>
        <w:lastRenderedPageBreak/>
        <w:t>Исследование метаболической активности БАВ:</w:t>
      </w:r>
    </w:p>
    <w:p w14:paraId="049E5BF9" w14:textId="77777777" w:rsidR="002F566D" w:rsidRPr="001E2755" w:rsidRDefault="00771269" w:rsidP="00180D2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Глюкозо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>-толерантный тест (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Zhi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Shi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Yun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Yun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Yuan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Feng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Xu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Juan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Ping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Xiao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Ying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Jian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Hua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Shang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Pr="001E2755">
        <w:rPr>
          <w:rFonts w:ascii="Times New Roman" w:hAnsi="Times New Roman" w:cs="Times New Roman"/>
          <w:sz w:val="24"/>
          <w:szCs w:val="24"/>
        </w:rPr>
        <w:t>-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Xiang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In Vitro and In Vivo Effects of Norathyriol and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Mangiferin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on α-Glucosidase //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Res Int. 2017; 2017: 1206015.).</w:t>
      </w:r>
    </w:p>
    <w:p w14:paraId="4A3B04D9" w14:textId="77777777" w:rsidR="00771269" w:rsidRPr="001E2755" w:rsidRDefault="00771269" w:rsidP="00180D2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755">
        <w:rPr>
          <w:rFonts w:ascii="Times New Roman" w:hAnsi="Times New Roman" w:cs="Times New Roman"/>
          <w:sz w:val="24"/>
          <w:szCs w:val="24"/>
        </w:rPr>
        <w:t>Тест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на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толерантность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к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крахмалу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Zhi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-Long Shi, Yi-Dan Liu, Yun-Yun Yuan, Da Song, Mei-Feng Qi, Xu-Juan Yang, Ping Wang, Xiao-Ying Li, Jian-Hua Shang, and Zhao-Xiang Yang. In Vitro and In Vivo Effects of Norathyriol and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Mangiferin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on α-Glucosidase //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Res Int. 2017; 2017: 1206015.).</w:t>
      </w:r>
    </w:p>
    <w:p w14:paraId="5535C4CF" w14:textId="77777777" w:rsidR="00771269" w:rsidRPr="001E2755" w:rsidRDefault="00771269" w:rsidP="00180D2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гиперлипидемии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</w:rPr>
        <w:t>индуцированная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тилоксаполом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Micheli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Stefani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Zarzecki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Stifani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M. Araujo,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Vandreza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Bortolotto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Mariane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Trindade de Paula, Cristiano Ricardo Jesse, Marina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Prigol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.  Hypolipidemic action of chrysin on Triton WR-1339-induced hyperlipidemia in female C57BL/6 mice // Toxicology Reports. </w:t>
      </w:r>
      <w:r w:rsidRPr="001E2755">
        <w:rPr>
          <w:rFonts w:ascii="Times New Roman" w:hAnsi="Times New Roman" w:cs="Times New Roman"/>
          <w:sz w:val="24"/>
          <w:szCs w:val="24"/>
        </w:rPr>
        <w:t xml:space="preserve">2014,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1E2755">
        <w:rPr>
          <w:rFonts w:ascii="Times New Roman" w:hAnsi="Times New Roman" w:cs="Times New Roman"/>
          <w:sz w:val="24"/>
          <w:szCs w:val="24"/>
        </w:rPr>
        <w:t xml:space="preserve">. 1.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2755">
        <w:rPr>
          <w:rFonts w:ascii="Times New Roman" w:hAnsi="Times New Roman" w:cs="Times New Roman"/>
          <w:sz w:val="24"/>
          <w:szCs w:val="24"/>
        </w:rPr>
        <w:t>. 200-208).</w:t>
      </w:r>
    </w:p>
    <w:p w14:paraId="0ACC1A16" w14:textId="77777777" w:rsidR="00400E72" w:rsidRPr="001E2755" w:rsidRDefault="00400E72" w:rsidP="00180D24">
      <w:pPr>
        <w:pStyle w:val="a5"/>
        <w:spacing w:before="100" w:beforeAutospacing="1" w:after="100" w:afterAutospacing="1" w:line="240" w:lineRule="auto"/>
        <w:ind w:hanging="720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E2755">
        <w:rPr>
          <w:rStyle w:val="a3"/>
          <w:rFonts w:ascii="Times New Roman" w:hAnsi="Times New Roman" w:cs="Times New Roman"/>
          <w:sz w:val="24"/>
          <w:szCs w:val="24"/>
          <w:u w:val="single"/>
        </w:rPr>
        <w:t>Исследование противоопухолевой активности БАВ:</w:t>
      </w:r>
    </w:p>
    <w:p w14:paraId="53116C26" w14:textId="77777777" w:rsidR="00771269" w:rsidRPr="001E2755" w:rsidRDefault="00C73519" w:rsidP="00180D2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асцитной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карциномы Эрлиха (Руководство по проведению доклинических исследований лекарственных средств.  Миронов А.Н.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Батутян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Н.Д. Часть первая. — М.: Гриф и К, 2012. — 944 с.;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Ozaslan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Karagos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Kils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Guldur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Erlich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askites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Pr="001E2755">
        <w:rPr>
          <w:rFonts w:ascii="Times New Roman" w:hAnsi="Times New Roman" w:cs="Times New Roman"/>
          <w:sz w:val="24"/>
          <w:szCs w:val="24"/>
        </w:rPr>
        <w:t xml:space="preserve">. //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Biotech</w:t>
      </w:r>
      <w:r w:rsidRPr="001E2755">
        <w:rPr>
          <w:rFonts w:ascii="Times New Roman" w:hAnsi="Times New Roman" w:cs="Times New Roman"/>
          <w:sz w:val="24"/>
          <w:szCs w:val="24"/>
        </w:rPr>
        <w:t xml:space="preserve">. 2011.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1E2755">
        <w:rPr>
          <w:rFonts w:ascii="Times New Roman" w:hAnsi="Times New Roman" w:cs="Times New Roman"/>
          <w:sz w:val="24"/>
          <w:szCs w:val="24"/>
        </w:rPr>
        <w:t xml:space="preserve">. 13, № 10.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2755">
        <w:rPr>
          <w:rFonts w:ascii="Times New Roman" w:hAnsi="Times New Roman" w:cs="Times New Roman"/>
          <w:sz w:val="24"/>
          <w:szCs w:val="24"/>
        </w:rPr>
        <w:t xml:space="preserve">. 2375–2378.; Рыжова Н.И., Дерягина В.П.,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Савлучинская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Л.А. Значение модели аденокарциномы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эрлиха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в изучении механизмов канцерогенеза, противоопухолевой активности химических и физических факторов // Международный журнал прикладных и фундаментальных исследований. – 2019. – № 4. – С. 220-227.).</w:t>
      </w:r>
    </w:p>
    <w:p w14:paraId="5E6EC372" w14:textId="77777777" w:rsidR="00C73519" w:rsidRPr="001E2755" w:rsidRDefault="00C73519" w:rsidP="00180D2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 xml:space="preserve">Модель солидной карциномы Эрлиха (Руководство по проведению доклинических исследований лекарственных средств.  Миронов А.Н.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Батутян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Н.Д. Часть первая. — М.: Гриф и К, 2012. — 944 с.;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Ozaslan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Karagos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Kils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E2755">
        <w:rPr>
          <w:rFonts w:ascii="Times New Roman" w:hAnsi="Times New Roman" w:cs="Times New Roman"/>
          <w:sz w:val="24"/>
          <w:szCs w:val="24"/>
        </w:rPr>
        <w:t xml:space="preserve">.,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Guldur</w:t>
      </w:r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Erlich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askites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carcinoma</w:t>
      </w:r>
      <w:r w:rsidRPr="001E2755">
        <w:rPr>
          <w:rFonts w:ascii="Times New Roman" w:hAnsi="Times New Roman" w:cs="Times New Roman"/>
          <w:sz w:val="24"/>
          <w:szCs w:val="24"/>
        </w:rPr>
        <w:t xml:space="preserve">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Pr="001E2755">
        <w:rPr>
          <w:rFonts w:ascii="Times New Roman" w:hAnsi="Times New Roman" w:cs="Times New Roman"/>
          <w:sz w:val="24"/>
          <w:szCs w:val="24"/>
        </w:rPr>
        <w:t xml:space="preserve">. //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E2755">
        <w:rPr>
          <w:rFonts w:ascii="Times New Roman" w:hAnsi="Times New Roman" w:cs="Times New Roman"/>
          <w:sz w:val="24"/>
          <w:szCs w:val="24"/>
        </w:rPr>
        <w:t>.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Biotech</w:t>
      </w:r>
      <w:r w:rsidRPr="001E2755">
        <w:rPr>
          <w:rFonts w:ascii="Times New Roman" w:hAnsi="Times New Roman" w:cs="Times New Roman"/>
          <w:sz w:val="24"/>
          <w:szCs w:val="24"/>
        </w:rPr>
        <w:t xml:space="preserve">. 2011.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1E2755">
        <w:rPr>
          <w:rFonts w:ascii="Times New Roman" w:hAnsi="Times New Roman" w:cs="Times New Roman"/>
          <w:sz w:val="24"/>
          <w:szCs w:val="24"/>
        </w:rPr>
        <w:t xml:space="preserve">. 13, № 10. 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2755">
        <w:rPr>
          <w:rFonts w:ascii="Times New Roman" w:hAnsi="Times New Roman" w:cs="Times New Roman"/>
          <w:sz w:val="24"/>
          <w:szCs w:val="24"/>
        </w:rPr>
        <w:t xml:space="preserve">. 2375–2378.; Рыжова Н.И., Дерягина В.П.,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Савлучинская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Л.А. Значение модели аденокарциномы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эрлиха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в изучении механизмов канцерогенеза, противоопухолевой активности химических и физических факторов // Международный журнал прикладных и фундаментальных исследований. – 2019. – № 4. – С. 220-227.).</w:t>
      </w:r>
    </w:p>
    <w:p w14:paraId="5A4CDDDB" w14:textId="77777777" w:rsidR="00C73519" w:rsidRPr="001E2755" w:rsidRDefault="00C73519" w:rsidP="00180D2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кожного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55">
        <w:rPr>
          <w:rFonts w:ascii="Times New Roman" w:hAnsi="Times New Roman" w:cs="Times New Roman"/>
          <w:sz w:val="24"/>
          <w:szCs w:val="24"/>
        </w:rPr>
        <w:t>канцерогенеза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2755">
        <w:rPr>
          <w:rFonts w:ascii="Times New Roman" w:hAnsi="Times New Roman" w:cs="Times New Roman"/>
          <w:sz w:val="24"/>
          <w:szCs w:val="24"/>
        </w:rPr>
        <w:t>индуцированная</w:t>
      </w:r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7,12–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диметилбензантраценом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Farnoush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 xml:space="preserve"> A. and Mackenzie I.C. Sequential histological changes and mast cell response in skin during chemically-induced carcinogenesis // J. Oral Pathology and Medicine July. 1983. V. 12, № 14. P. 300-306.</w:t>
      </w:r>
      <w:r w:rsidRPr="001E2755">
        <w:rPr>
          <w:rFonts w:ascii="Times New Roman" w:hAnsi="Times New Roman" w:cs="Times New Roman"/>
          <w:sz w:val="24"/>
          <w:szCs w:val="24"/>
        </w:rPr>
        <w:t>).</w:t>
      </w:r>
    </w:p>
    <w:p w14:paraId="51E7F48C" w14:textId="77777777" w:rsidR="00C73519" w:rsidRPr="001E2755" w:rsidRDefault="00C73519" w:rsidP="00446C3E">
      <w:pPr>
        <w:pStyle w:val="a5"/>
        <w:spacing w:before="100" w:beforeAutospacing="1" w:after="100" w:afterAutospacing="1" w:line="240" w:lineRule="auto"/>
        <w:ind w:hanging="720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1E2755">
        <w:rPr>
          <w:rStyle w:val="a3"/>
          <w:rFonts w:ascii="Times New Roman" w:hAnsi="Times New Roman" w:cs="Times New Roman"/>
          <w:sz w:val="24"/>
          <w:szCs w:val="24"/>
          <w:u w:val="single"/>
        </w:rPr>
        <w:t>Исследование ранозаживляющей активности БАВ:</w:t>
      </w:r>
    </w:p>
    <w:p w14:paraId="4A9D7E78" w14:textId="77777777" w:rsidR="00C73519" w:rsidRPr="001E2755" w:rsidRDefault="00C73519" w:rsidP="00180D2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 термических ран (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Г.Л. Регуляция регенерации клетка, ткань, организм. Г.Л.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, В.Э.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Колла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// Фармакологическая регуляция регенераторных процессов в эксперименте и клинике. 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Горький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>. 1978. С. 14-70.</w:t>
      </w:r>
      <w:r w:rsidRPr="001E2755">
        <w:rPr>
          <w:rFonts w:ascii="Times New Roman" w:hAnsi="Times New Roman" w:cs="Times New Roman"/>
          <w:sz w:val="24"/>
          <w:szCs w:val="24"/>
        </w:rPr>
        <w:t>).</w:t>
      </w:r>
    </w:p>
    <w:p w14:paraId="170992BE" w14:textId="77777777" w:rsidR="00C73519" w:rsidRPr="001E2755" w:rsidRDefault="00C73519" w:rsidP="00180D2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55">
        <w:rPr>
          <w:rFonts w:ascii="Times New Roman" w:hAnsi="Times New Roman" w:cs="Times New Roman"/>
          <w:sz w:val="24"/>
          <w:szCs w:val="24"/>
        </w:rPr>
        <w:t>Модель лоскутных ран (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Г.Л. Регуляция регенерации клетка, ткань, организм. Г.Л.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, В.Э. </w:t>
      </w:r>
      <w:proofErr w:type="spellStart"/>
      <w:r w:rsidRPr="001E2755">
        <w:rPr>
          <w:rFonts w:ascii="Times New Roman" w:hAnsi="Times New Roman" w:cs="Times New Roman"/>
          <w:sz w:val="24"/>
          <w:szCs w:val="24"/>
        </w:rPr>
        <w:t>Колла</w:t>
      </w:r>
      <w:proofErr w:type="spellEnd"/>
      <w:r w:rsidRPr="001E2755">
        <w:rPr>
          <w:rFonts w:ascii="Times New Roman" w:hAnsi="Times New Roman" w:cs="Times New Roman"/>
          <w:sz w:val="24"/>
          <w:szCs w:val="24"/>
        </w:rPr>
        <w:t xml:space="preserve"> // Фармакологическая регуляция регенераторных процессов в эксперименте и клинике.  </w:t>
      </w:r>
      <w:proofErr w:type="spellStart"/>
      <w:r w:rsidRPr="001E2755">
        <w:rPr>
          <w:rFonts w:ascii="Times New Roman" w:hAnsi="Times New Roman" w:cs="Times New Roman"/>
          <w:sz w:val="24"/>
          <w:szCs w:val="24"/>
          <w:lang w:val="en-US"/>
        </w:rPr>
        <w:t>Горький</w:t>
      </w:r>
      <w:proofErr w:type="spellEnd"/>
      <w:r w:rsidRPr="001E2755">
        <w:rPr>
          <w:rFonts w:ascii="Times New Roman" w:hAnsi="Times New Roman" w:cs="Times New Roman"/>
          <w:sz w:val="24"/>
          <w:szCs w:val="24"/>
          <w:lang w:val="en-US"/>
        </w:rPr>
        <w:t>. 1978. С. 14-70.</w:t>
      </w:r>
      <w:r w:rsidRPr="001E2755">
        <w:rPr>
          <w:rFonts w:ascii="Times New Roman" w:hAnsi="Times New Roman" w:cs="Times New Roman"/>
          <w:sz w:val="24"/>
          <w:szCs w:val="24"/>
        </w:rPr>
        <w:t>).</w:t>
      </w:r>
    </w:p>
    <w:sectPr w:rsidR="00C73519" w:rsidRPr="001E2755" w:rsidSect="008B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B36"/>
    <w:multiLevelType w:val="multilevel"/>
    <w:tmpl w:val="1EB41F12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975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433"/>
        </w:tabs>
        <w:ind w:left="1433" w:hanging="97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62"/>
        </w:tabs>
        <w:ind w:left="1662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96"/>
        </w:tabs>
        <w:ind w:left="199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814"/>
        </w:tabs>
        <w:ind w:left="281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43"/>
        </w:tabs>
        <w:ind w:left="304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632"/>
        </w:tabs>
        <w:ind w:left="3632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13ED2BD8"/>
    <w:multiLevelType w:val="hybridMultilevel"/>
    <w:tmpl w:val="B69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76C"/>
    <w:multiLevelType w:val="hybridMultilevel"/>
    <w:tmpl w:val="BE8EE128"/>
    <w:lvl w:ilvl="0" w:tplc="69AE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240"/>
    <w:multiLevelType w:val="hybridMultilevel"/>
    <w:tmpl w:val="793A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2062"/>
    <w:multiLevelType w:val="hybridMultilevel"/>
    <w:tmpl w:val="685C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9B4"/>
    <w:multiLevelType w:val="hybridMultilevel"/>
    <w:tmpl w:val="B3AA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4D6D"/>
    <w:multiLevelType w:val="multilevel"/>
    <w:tmpl w:val="46CA18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8"/>
        </w:tabs>
        <w:ind w:left="1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76"/>
        </w:tabs>
        <w:ind w:left="2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0"/>
        </w:tabs>
        <w:ind w:left="2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58"/>
        </w:tabs>
        <w:ind w:left="3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2"/>
        </w:tabs>
        <w:ind w:left="3992" w:hanging="1800"/>
      </w:pPr>
      <w:rPr>
        <w:rFonts w:hint="default"/>
      </w:rPr>
    </w:lvl>
  </w:abstractNum>
  <w:abstractNum w:abstractNumId="7" w15:restartNumberingAfterBreak="0">
    <w:nsid w:val="20744C5E"/>
    <w:multiLevelType w:val="hybridMultilevel"/>
    <w:tmpl w:val="5D76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140"/>
    <w:multiLevelType w:val="hybridMultilevel"/>
    <w:tmpl w:val="C180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2E6A"/>
    <w:multiLevelType w:val="hybridMultilevel"/>
    <w:tmpl w:val="CFD494BE"/>
    <w:lvl w:ilvl="0" w:tplc="531A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25DA"/>
    <w:multiLevelType w:val="hybridMultilevel"/>
    <w:tmpl w:val="B05A06B8"/>
    <w:lvl w:ilvl="0" w:tplc="531A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E67AE"/>
    <w:multiLevelType w:val="hybridMultilevel"/>
    <w:tmpl w:val="EBACC4C0"/>
    <w:lvl w:ilvl="0" w:tplc="9F4CD2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6E37"/>
    <w:multiLevelType w:val="hybridMultilevel"/>
    <w:tmpl w:val="A7C6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55CC"/>
    <w:multiLevelType w:val="hybridMultilevel"/>
    <w:tmpl w:val="7FEC0620"/>
    <w:lvl w:ilvl="0" w:tplc="9E94420A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F11AF5D2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3378EE28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2FA09A4E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31864ACC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D598DBEE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F2C0614E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6A3636C0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C07A86BC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4" w15:restartNumberingAfterBreak="0">
    <w:nsid w:val="57690D9D"/>
    <w:multiLevelType w:val="hybridMultilevel"/>
    <w:tmpl w:val="D7EE7F4C"/>
    <w:lvl w:ilvl="0" w:tplc="97AC2C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C111519"/>
    <w:multiLevelType w:val="hybridMultilevel"/>
    <w:tmpl w:val="96049860"/>
    <w:lvl w:ilvl="0" w:tplc="5BA65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6962"/>
    <w:multiLevelType w:val="hybridMultilevel"/>
    <w:tmpl w:val="105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2"/>
    <w:rsid w:val="00114029"/>
    <w:rsid w:val="00135CA0"/>
    <w:rsid w:val="00180D24"/>
    <w:rsid w:val="001E2755"/>
    <w:rsid w:val="001F1593"/>
    <w:rsid w:val="00295B87"/>
    <w:rsid w:val="002B0408"/>
    <w:rsid w:val="002F566D"/>
    <w:rsid w:val="003C6EFA"/>
    <w:rsid w:val="00400E72"/>
    <w:rsid w:val="00432758"/>
    <w:rsid w:val="00446C3E"/>
    <w:rsid w:val="00447F54"/>
    <w:rsid w:val="004C0D41"/>
    <w:rsid w:val="004F18D9"/>
    <w:rsid w:val="00500D57"/>
    <w:rsid w:val="00601DE2"/>
    <w:rsid w:val="00617980"/>
    <w:rsid w:val="006B6859"/>
    <w:rsid w:val="006C3510"/>
    <w:rsid w:val="006E3B66"/>
    <w:rsid w:val="007004C6"/>
    <w:rsid w:val="007038D2"/>
    <w:rsid w:val="00771269"/>
    <w:rsid w:val="008843C2"/>
    <w:rsid w:val="008B1C3A"/>
    <w:rsid w:val="00937CEF"/>
    <w:rsid w:val="009A062E"/>
    <w:rsid w:val="00A1106D"/>
    <w:rsid w:val="00A862DB"/>
    <w:rsid w:val="00AA6783"/>
    <w:rsid w:val="00C16542"/>
    <w:rsid w:val="00C62199"/>
    <w:rsid w:val="00C704F5"/>
    <w:rsid w:val="00C73519"/>
    <w:rsid w:val="00C7639C"/>
    <w:rsid w:val="00CB2C46"/>
    <w:rsid w:val="00E56A32"/>
    <w:rsid w:val="00E76EE3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EB6"/>
  <w15:docId w15:val="{D3762CAE-8930-4791-9756-EB7EA4B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01DE2"/>
  </w:style>
  <w:style w:type="character" w:styleId="a3">
    <w:name w:val="Strong"/>
    <w:basedOn w:val="a0"/>
    <w:uiPriority w:val="22"/>
    <w:qFormat/>
    <w:rsid w:val="004F18D9"/>
    <w:rPr>
      <w:b/>
      <w:bCs/>
    </w:rPr>
  </w:style>
  <w:style w:type="paragraph" w:styleId="a4">
    <w:name w:val="Normal (Web)"/>
    <w:basedOn w:val="a"/>
    <w:uiPriority w:val="99"/>
    <w:semiHidden/>
    <w:unhideWhenUsed/>
    <w:rsid w:val="004F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04C6"/>
    <w:pPr>
      <w:ind w:left="720"/>
      <w:contextualSpacing/>
    </w:pPr>
  </w:style>
  <w:style w:type="paragraph" w:styleId="2">
    <w:name w:val="Body Text 2"/>
    <w:basedOn w:val="a"/>
    <w:link w:val="20"/>
    <w:rsid w:val="002F56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F5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35C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3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ТИБОХ ДВО РАН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 </cp:lastModifiedBy>
  <cp:revision>2</cp:revision>
  <dcterms:created xsi:type="dcterms:W3CDTF">2022-01-14T05:01:00Z</dcterms:created>
  <dcterms:modified xsi:type="dcterms:W3CDTF">2022-01-14T05:01:00Z</dcterms:modified>
</cp:coreProperties>
</file>